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7D5" w:rsidRDefault="005D07D5" w:rsidP="005D07D5">
      <w:pPr>
        <w:pStyle w:val="a7"/>
        <w:ind w:firstLine="540"/>
        <w:jc w:val="right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Приложение 1</w:t>
      </w:r>
      <w:r w:rsidR="0020417F">
        <w:rPr>
          <w:rFonts w:ascii="Times New Roman" w:hAnsi="Times New Roman"/>
          <w:b/>
          <w:sz w:val="24"/>
        </w:rPr>
        <w:t>1</w:t>
      </w:r>
    </w:p>
    <w:p w:rsidR="005D07D5" w:rsidRDefault="00657166" w:rsidP="005D07D5">
      <w:pPr>
        <w:pStyle w:val="a7"/>
        <w:ind w:firstLine="540"/>
        <w:rPr>
          <w:rFonts w:ascii="Times New Roman" w:hAnsi="Times New Roman"/>
          <w:b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115425" cy="537210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071FB8">
        <w:rPr>
          <w:noProof/>
          <w:lang w:eastAsia="ru-RU"/>
        </w:rPr>
        <w:lastRenderedPageBreak/>
        <w:drawing>
          <wp:inline distT="0" distB="0" distL="0" distR="0" wp14:anchorId="25743BF7" wp14:editId="772D40BA">
            <wp:extent cx="9201150" cy="547687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5D07D5" w:rsidSect="00204F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2513"/>
    <w:multiLevelType w:val="hybridMultilevel"/>
    <w:tmpl w:val="A03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31441"/>
    <w:multiLevelType w:val="hybridMultilevel"/>
    <w:tmpl w:val="5BE0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B329E"/>
    <w:multiLevelType w:val="hybridMultilevel"/>
    <w:tmpl w:val="940C3822"/>
    <w:lvl w:ilvl="0" w:tplc="F104AF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D49D0"/>
    <w:multiLevelType w:val="hybridMultilevel"/>
    <w:tmpl w:val="ACD888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6102E"/>
    <w:multiLevelType w:val="hybridMultilevel"/>
    <w:tmpl w:val="02027368"/>
    <w:lvl w:ilvl="0" w:tplc="333E39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9C155E"/>
    <w:multiLevelType w:val="hybridMultilevel"/>
    <w:tmpl w:val="34669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343472"/>
    <w:multiLevelType w:val="hybridMultilevel"/>
    <w:tmpl w:val="5B4AA660"/>
    <w:lvl w:ilvl="0" w:tplc="2C506536">
      <w:start w:val="7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4F6A"/>
    <w:rsid w:val="00003319"/>
    <w:rsid w:val="00071FB8"/>
    <w:rsid w:val="00132760"/>
    <w:rsid w:val="00172E89"/>
    <w:rsid w:val="001E1CD8"/>
    <w:rsid w:val="0020417F"/>
    <w:rsid w:val="00204EC4"/>
    <w:rsid w:val="00204F6A"/>
    <w:rsid w:val="002827B7"/>
    <w:rsid w:val="00334685"/>
    <w:rsid w:val="00371965"/>
    <w:rsid w:val="00460937"/>
    <w:rsid w:val="004857DC"/>
    <w:rsid w:val="005509B9"/>
    <w:rsid w:val="005D07D5"/>
    <w:rsid w:val="00657166"/>
    <w:rsid w:val="006A4A17"/>
    <w:rsid w:val="0079508A"/>
    <w:rsid w:val="00803FB3"/>
    <w:rsid w:val="008360E1"/>
    <w:rsid w:val="00911832"/>
    <w:rsid w:val="00952F88"/>
    <w:rsid w:val="009F3124"/>
    <w:rsid w:val="00AB245D"/>
    <w:rsid w:val="00B155EE"/>
    <w:rsid w:val="00D262E2"/>
    <w:rsid w:val="00D7464D"/>
    <w:rsid w:val="00E40C05"/>
    <w:rsid w:val="00E86E7F"/>
    <w:rsid w:val="00E95CFC"/>
    <w:rsid w:val="00FD2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F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F6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609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Основной текст Знак"/>
    <w:link w:val="a7"/>
    <w:locked/>
    <w:rsid w:val="00371965"/>
    <w:rPr>
      <w:sz w:val="28"/>
      <w:szCs w:val="24"/>
    </w:rPr>
  </w:style>
  <w:style w:type="paragraph" w:styleId="a7">
    <w:name w:val="Body Text"/>
    <w:basedOn w:val="a"/>
    <w:link w:val="a6"/>
    <w:rsid w:val="00371965"/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3719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title>
      <c:tx>
        <c:rich>
          <a:bodyPr/>
          <a:lstStyle/>
          <a:p>
            <a:pPr>
              <a:defRPr/>
            </a:pPr>
            <a:r>
              <a:rPr lang="ru-RU" sz="1400"/>
              <a:t>Количество</a:t>
            </a:r>
            <a:r>
              <a:rPr lang="ru-RU" sz="1400" baseline="0"/>
              <a:t> детей, принимавших участие в конкурсах</a:t>
            </a:r>
            <a:endParaRPr lang="ru-RU" sz="1400"/>
          </a:p>
        </c:rich>
      </c:tx>
      <c:layout>
        <c:manualLayout>
          <c:xMode val="edge"/>
          <c:yMode val="edge"/>
          <c:x val="0.12817366579177589"/>
          <c:y val="0"/>
        </c:manualLayout>
      </c:layout>
      <c:overlay val="1"/>
    </c:title>
    <c:autoTitleDeleted val="0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Лист1!$A$394</c:f>
              <c:strCache>
                <c:ptCount val="1"/>
                <c:pt idx="0">
                  <c:v>2015-2016</c:v>
                </c:pt>
              </c:strCache>
            </c:strRef>
          </c:tx>
          <c:invertIfNegative val="1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106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 40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 26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val>
            <c:numRef>
              <c:f>Лист1!$B$394:$D$394</c:f>
              <c:numCache>
                <c:formatCode>General</c:formatCode>
                <c:ptCount val="3"/>
                <c:pt idx="0">
                  <c:v>106</c:v>
                </c:pt>
                <c:pt idx="1">
                  <c:v>40</c:v>
                </c:pt>
                <c:pt idx="2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Лист1!$A$395</c:f>
              <c:strCache>
                <c:ptCount val="1"/>
                <c:pt idx="0">
                  <c:v>2016-2017</c:v>
                </c:pt>
              </c:strCache>
            </c:strRef>
          </c:tx>
          <c:invertIfNegative val="1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 98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 19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 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val>
            <c:numRef>
              <c:f>Лист1!$B$395:$D$395</c:f>
              <c:numCache>
                <c:formatCode>General</c:formatCode>
                <c:ptCount val="3"/>
                <c:pt idx="0">
                  <c:v>98</c:v>
                </c:pt>
                <c:pt idx="1">
                  <c:v>19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Лист1!$A$396</c:f>
              <c:strCache>
                <c:ptCount val="1"/>
                <c:pt idx="0">
                  <c:v>2017-2018</c:v>
                </c:pt>
              </c:strCache>
            </c:strRef>
          </c:tx>
          <c:invertIfNegative val="1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 31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 5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val>
            <c:numRef>
              <c:f>Лист1!$B$396:$D$396</c:f>
              <c:numCache>
                <c:formatCode>General</c:formatCode>
                <c:ptCount val="3"/>
                <c:pt idx="0">
                  <c:v>31</c:v>
                </c:pt>
                <c:pt idx="1">
                  <c:v>5</c:v>
                </c:pt>
                <c:pt idx="2">
                  <c:v>0</c:v>
                </c:pt>
              </c:numCache>
            </c:numRef>
          </c:val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150"/>
        <c:shape val="box"/>
        <c:axId val="156694400"/>
        <c:axId val="156695936"/>
        <c:axId val="0"/>
      </c:bar3DChart>
      <c:catAx>
        <c:axId val="156694400"/>
        <c:scaling>
          <c:orientation val="minMax"/>
        </c:scaling>
        <c:delete val="1"/>
        <c:axPos val="b"/>
        <c:numFmt formatCode="General" sourceLinked="1"/>
        <c:majorTickMark val="none"/>
        <c:minorTickMark val="cross"/>
        <c:tickLblPos val="nextTo"/>
        <c:crossAx val="156695936"/>
        <c:crosses val="autoZero"/>
        <c:auto val="1"/>
        <c:lblAlgn val="ctr"/>
        <c:lblOffset val="100"/>
        <c:noMultiLvlLbl val="1"/>
      </c:catAx>
      <c:valAx>
        <c:axId val="156695936"/>
        <c:scaling>
          <c:orientation val="minMax"/>
        </c:scaling>
        <c:delete val="1"/>
        <c:axPos val="l"/>
        <c:numFmt formatCode="General" sourceLinked="1"/>
        <c:majorTickMark val="none"/>
        <c:minorTickMark val="cross"/>
        <c:tickLblPos val="nextTo"/>
        <c:crossAx val="15669440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4364413823272138"/>
          <c:y val="0.14856481481481484"/>
          <c:w val="0.54604483814523264"/>
          <c:h val="8.3717191601050026E-2"/>
        </c:manualLayout>
      </c:layout>
      <c:overlay val="1"/>
      <c:txPr>
        <a:bodyPr/>
        <a:lstStyle/>
        <a:p>
          <a:pPr>
            <a:defRPr sz="1200" b="1"/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hart>
    <c:title>
      <c:tx>
        <c:rich>
          <a:bodyPr/>
          <a:lstStyle/>
          <a:p>
            <a:pPr>
              <a:defRPr/>
            </a:pPr>
            <a:r>
              <a:rPr lang="ru-RU" sz="1400"/>
              <a:t>Количество призёров</a:t>
            </a:r>
          </a:p>
        </c:rich>
      </c:tx>
      <c:layout>
        <c:manualLayout>
          <c:xMode val="edge"/>
          <c:yMode val="edge"/>
          <c:x val="0.33372922134733202"/>
          <c:y val="4.7449584816132914E-3"/>
        </c:manualLayout>
      </c:layout>
      <c:overlay val="1"/>
    </c:title>
    <c:autoTitleDeleted val="0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Лист1!$A$410</c:f>
              <c:strCache>
                <c:ptCount val="1"/>
                <c:pt idx="0">
                  <c:v>2015-2016</c:v>
                </c:pt>
              </c:strCache>
            </c:strRef>
          </c:tx>
          <c:invertIfNegative val="1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 43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17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 4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val>
            <c:numRef>
              <c:f>Лист1!$B$410:$D$410</c:f>
              <c:numCache>
                <c:formatCode>General</c:formatCode>
                <c:ptCount val="3"/>
                <c:pt idx="0">
                  <c:v>43</c:v>
                </c:pt>
                <c:pt idx="1">
                  <c:v>17</c:v>
                </c:pt>
                <c:pt idx="2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Лист1!$A$411</c:f>
              <c:strCache>
                <c:ptCount val="1"/>
                <c:pt idx="0">
                  <c:v>2016-2017</c:v>
                </c:pt>
              </c:strCache>
            </c:strRef>
          </c:tx>
          <c:invertIfNegative val="1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 35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12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 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val>
            <c:numRef>
              <c:f>Лист1!$B$411:$D$411</c:f>
              <c:numCache>
                <c:formatCode>General</c:formatCode>
                <c:ptCount val="3"/>
                <c:pt idx="0">
                  <c:v>35</c:v>
                </c:pt>
                <c:pt idx="1">
                  <c:v>12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Лист1!$A$412</c:f>
              <c:strCache>
                <c:ptCount val="1"/>
                <c:pt idx="0">
                  <c:v>2017-2018</c:v>
                </c:pt>
              </c:strCache>
            </c:strRef>
          </c:tx>
          <c:invertIfNegative val="1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29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 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 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val>
            <c:numRef>
              <c:f>Лист1!$B$412:$D$412</c:f>
              <c:numCache>
                <c:formatCode>General</c:formatCode>
                <c:ptCount val="3"/>
                <c:pt idx="0">
                  <c:v>29</c:v>
                </c:pt>
                <c:pt idx="1">
                  <c:v>1</c:v>
                </c:pt>
                <c:pt idx="2">
                  <c:v>0</c:v>
                </c:pt>
              </c:numCache>
            </c:numRef>
          </c:val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150"/>
        <c:shape val="box"/>
        <c:axId val="163899648"/>
        <c:axId val="167190528"/>
        <c:axId val="0"/>
      </c:bar3DChart>
      <c:catAx>
        <c:axId val="163899648"/>
        <c:scaling>
          <c:orientation val="minMax"/>
        </c:scaling>
        <c:delete val="1"/>
        <c:axPos val="b"/>
        <c:numFmt formatCode="General" sourceLinked="1"/>
        <c:majorTickMark val="none"/>
        <c:minorTickMark val="cross"/>
        <c:tickLblPos val="nextTo"/>
        <c:crossAx val="167190528"/>
        <c:crosses val="autoZero"/>
        <c:auto val="1"/>
        <c:lblAlgn val="ctr"/>
        <c:lblOffset val="100"/>
        <c:noMultiLvlLbl val="1"/>
      </c:catAx>
      <c:valAx>
        <c:axId val="167190528"/>
        <c:scaling>
          <c:orientation val="minMax"/>
        </c:scaling>
        <c:delete val="1"/>
        <c:axPos val="l"/>
        <c:numFmt formatCode="General" sourceLinked="1"/>
        <c:majorTickMark val="none"/>
        <c:minorTickMark val="cross"/>
        <c:tickLblPos val="nextTo"/>
        <c:crossAx val="16389964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24364413823272157"/>
          <c:y val="0.14856481481481484"/>
          <c:w val="0.54604483814523264"/>
          <c:h val="8.3717191601050067E-2"/>
        </c:manualLayout>
      </c:layout>
      <c:overlay val="1"/>
      <c:txPr>
        <a:bodyPr/>
        <a:lstStyle/>
        <a:p>
          <a:pPr>
            <a:defRPr sz="1200" b="1"/>
          </a:pPr>
          <a:endParaRPr lang="ru-RU"/>
        </a:p>
      </c:txPr>
    </c:legend>
    <c:plotVisOnly val="1"/>
    <c:dispBlanksAs val="zero"/>
    <c:showDLblsOverMax val="1"/>
  </c:chart>
  <c:externalData r:id="rId1">
    <c:autoUpdate val="1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0.28125</cdr:x>
      <cdr:y>0.20833</cdr:y>
    </cdr:from>
    <cdr:to>
      <cdr:x>0.39583</cdr:x>
      <cdr:y>0.33333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285875" y="571499"/>
          <a:ext cx="523875" cy="34290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0.24792</cdr:x>
      <cdr:y>0.20139</cdr:y>
    </cdr:from>
    <cdr:to>
      <cdr:x>0.49375</cdr:x>
      <cdr:y>0.60764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133475" y="552450"/>
          <a:ext cx="1123950" cy="11144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район</a:t>
          </a:r>
        </a:p>
      </cdr:txBody>
    </cdr:sp>
  </cdr:relSizeAnchor>
  <cdr:relSizeAnchor xmlns:cdr="http://schemas.openxmlformats.org/drawingml/2006/chartDrawing">
    <cdr:from>
      <cdr:x>0.43958</cdr:x>
      <cdr:y>0.20139</cdr:y>
    </cdr:from>
    <cdr:to>
      <cdr:x>0.71042</cdr:x>
      <cdr:y>0.58681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2009775" y="552450"/>
          <a:ext cx="1238250" cy="10572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0.42708</cdr:x>
      <cdr:y>0.20486</cdr:y>
    </cdr:from>
    <cdr:to>
      <cdr:x>0.67292</cdr:x>
      <cdr:y>0.59375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952625" y="561975"/>
          <a:ext cx="1123950" cy="1066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область</a:t>
          </a:r>
        </a:p>
      </cdr:txBody>
    </cdr:sp>
  </cdr:relSizeAnchor>
  <cdr:relSizeAnchor xmlns:cdr="http://schemas.openxmlformats.org/drawingml/2006/chartDrawing">
    <cdr:from>
      <cdr:x>0.61667</cdr:x>
      <cdr:y>0.20833</cdr:y>
    </cdr:from>
    <cdr:to>
      <cdr:x>0.86042</cdr:x>
      <cdr:y>0.61111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819400" y="571500"/>
          <a:ext cx="1114425" cy="1104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Россия</a:t>
          </a:r>
        </a:p>
      </cdr:txBody>
    </cdr:sp>
  </cdr:relSizeAnchor>
  <cdr:relSizeAnchor xmlns:cdr="http://schemas.openxmlformats.org/drawingml/2006/chartDrawing">
    <cdr:from>
      <cdr:x>0.20417</cdr:x>
      <cdr:y>0.66667</cdr:y>
    </cdr:from>
    <cdr:to>
      <cdr:x>0.40417</cdr:x>
      <cdr:y>1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933450" y="24574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0.14375</cdr:x>
      <cdr:y>0.83333</cdr:y>
    </cdr:from>
    <cdr:to>
      <cdr:x>0.28542</cdr:x>
      <cdr:y>0.98264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657225" y="2286000"/>
          <a:ext cx="647700" cy="4095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600" b="1"/>
            <a:t>Район</a:t>
          </a:r>
        </a:p>
      </cdr:txBody>
    </cdr:sp>
  </cdr:relSizeAnchor>
  <cdr:relSizeAnchor xmlns:cdr="http://schemas.openxmlformats.org/drawingml/2006/chartDrawing">
    <cdr:from>
      <cdr:x>0.4125</cdr:x>
      <cdr:y>0.84028</cdr:y>
    </cdr:from>
    <cdr:to>
      <cdr:x>0.56875</cdr:x>
      <cdr:y>0.98611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1885950" y="2305050"/>
          <a:ext cx="714375" cy="4000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600" b="1"/>
            <a:t>Область</a:t>
          </a:r>
        </a:p>
      </cdr:txBody>
    </cdr:sp>
  </cdr:relSizeAnchor>
  <cdr:relSizeAnchor xmlns:cdr="http://schemas.openxmlformats.org/drawingml/2006/chartDrawing">
    <cdr:from>
      <cdr:x>0.69167</cdr:x>
      <cdr:y>0.84722</cdr:y>
    </cdr:from>
    <cdr:to>
      <cdr:x>0.88542</cdr:x>
      <cdr:y>0.98958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3162299" y="2324099"/>
          <a:ext cx="885825" cy="3905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600" b="1"/>
            <a:t>Россия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0.28125</cdr:x>
      <cdr:y>0.20833</cdr:y>
    </cdr:from>
    <cdr:to>
      <cdr:x>0.39583</cdr:x>
      <cdr:y>0.33333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285875" y="571499"/>
          <a:ext cx="523875" cy="34290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0.24792</cdr:x>
      <cdr:y>0.20139</cdr:y>
    </cdr:from>
    <cdr:to>
      <cdr:x>0.49375</cdr:x>
      <cdr:y>0.60764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133475" y="552450"/>
          <a:ext cx="1123950" cy="11144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район</a:t>
          </a:r>
        </a:p>
      </cdr:txBody>
    </cdr:sp>
  </cdr:relSizeAnchor>
  <cdr:relSizeAnchor xmlns:cdr="http://schemas.openxmlformats.org/drawingml/2006/chartDrawing">
    <cdr:from>
      <cdr:x>0.42708</cdr:x>
      <cdr:y>0.20486</cdr:y>
    </cdr:from>
    <cdr:to>
      <cdr:x>0.67292</cdr:x>
      <cdr:y>0.59375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952625" y="561975"/>
          <a:ext cx="1123950" cy="1066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область</a:t>
          </a:r>
        </a:p>
      </cdr:txBody>
    </cdr:sp>
  </cdr:relSizeAnchor>
  <cdr:relSizeAnchor xmlns:cdr="http://schemas.openxmlformats.org/drawingml/2006/chartDrawing">
    <cdr:from>
      <cdr:x>0.61667</cdr:x>
      <cdr:y>0.20833</cdr:y>
    </cdr:from>
    <cdr:to>
      <cdr:x>0.86042</cdr:x>
      <cdr:y>0.61111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819400" y="571500"/>
          <a:ext cx="1114425" cy="1104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100" b="1"/>
            <a:t>Россия</a:t>
          </a:r>
        </a:p>
      </cdr:txBody>
    </cdr:sp>
  </cdr:relSizeAnchor>
  <cdr:relSizeAnchor xmlns:cdr="http://schemas.openxmlformats.org/drawingml/2006/chartDrawing">
    <cdr:from>
      <cdr:x>0.20417</cdr:x>
      <cdr:y>0.66667</cdr:y>
    </cdr:from>
    <cdr:to>
      <cdr:x>0.40417</cdr:x>
      <cdr:y>1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933450" y="245745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0.14375</cdr:x>
      <cdr:y>0.83333</cdr:y>
    </cdr:from>
    <cdr:to>
      <cdr:x>0.28542</cdr:x>
      <cdr:y>0.98264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657225" y="2286000"/>
          <a:ext cx="647700" cy="4095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600" b="1"/>
            <a:t>Район</a:t>
          </a:r>
        </a:p>
      </cdr:txBody>
    </cdr:sp>
  </cdr:relSizeAnchor>
  <cdr:relSizeAnchor xmlns:cdr="http://schemas.openxmlformats.org/drawingml/2006/chartDrawing">
    <cdr:from>
      <cdr:x>0.4125</cdr:x>
      <cdr:y>0.84028</cdr:y>
    </cdr:from>
    <cdr:to>
      <cdr:x>0.56875</cdr:x>
      <cdr:y>0.98611</cdr:y>
    </cdr:to>
    <cdr:sp macro="" textlink="">
      <cdr:nvSpPr>
        <cdr:cNvPr id="9" name="TextBox 8"/>
        <cdr:cNvSpPr txBox="1"/>
      </cdr:nvSpPr>
      <cdr:spPr>
        <a:xfrm xmlns:a="http://schemas.openxmlformats.org/drawingml/2006/main">
          <a:off x="1885950" y="2305050"/>
          <a:ext cx="714375" cy="4000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600" b="1"/>
            <a:t>Область</a:t>
          </a:r>
        </a:p>
      </cdr:txBody>
    </cdr:sp>
  </cdr:relSizeAnchor>
  <cdr:relSizeAnchor xmlns:cdr="http://schemas.openxmlformats.org/drawingml/2006/chartDrawing">
    <cdr:from>
      <cdr:x>0.69167</cdr:x>
      <cdr:y>0.84722</cdr:y>
    </cdr:from>
    <cdr:to>
      <cdr:x>0.88542</cdr:x>
      <cdr:y>0.98958</cdr:y>
    </cdr:to>
    <cdr:sp macro="" textlink="">
      <cdr:nvSpPr>
        <cdr:cNvPr id="10" name="TextBox 9"/>
        <cdr:cNvSpPr txBox="1"/>
      </cdr:nvSpPr>
      <cdr:spPr>
        <a:xfrm xmlns:a="http://schemas.openxmlformats.org/drawingml/2006/main">
          <a:off x="3162299" y="2324099"/>
          <a:ext cx="885825" cy="3905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ru-RU" sz="1600" b="1"/>
            <a:t>Россия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C33C60-E0AA-431A-AFB0-D4384FD1A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</cp:revision>
  <dcterms:created xsi:type="dcterms:W3CDTF">2012-11-05T11:34:00Z</dcterms:created>
  <dcterms:modified xsi:type="dcterms:W3CDTF">2018-11-16T08:36:00Z</dcterms:modified>
</cp:coreProperties>
</file>